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C4" w:rsidRDefault="00674DC4" w:rsidP="00674DC4">
      <w:pPr>
        <w:pStyle w:val="ListParagraph"/>
        <w:numPr>
          <w:ilvl w:val="0"/>
          <w:numId w:val="3"/>
        </w:numPr>
        <w:spacing w:line="276" w:lineRule="auto"/>
        <w:rPr>
          <w:rFonts w:ascii="Arial" w:hAnsi="Arial" w:cs="Arial"/>
          <w:b/>
          <w:sz w:val="24"/>
          <w:szCs w:val="24"/>
        </w:rPr>
      </w:pPr>
      <w:r>
        <w:rPr>
          <w:rFonts w:ascii="Arial" w:hAnsi="Arial" w:cs="Arial"/>
          <w:b/>
          <w:sz w:val="24"/>
          <w:szCs w:val="24"/>
        </w:rPr>
        <w:t>Purpose</w:t>
      </w:r>
      <w:bookmarkStart w:id="0" w:name="_GoBack"/>
      <w:bookmarkEnd w:id="0"/>
    </w:p>
    <w:p w:rsidR="00674DC4" w:rsidRPr="00674DC4" w:rsidRDefault="00674DC4" w:rsidP="00674DC4">
      <w:pPr>
        <w:pStyle w:val="ListParagraph"/>
        <w:numPr>
          <w:ilvl w:val="1"/>
          <w:numId w:val="3"/>
        </w:numPr>
        <w:spacing w:line="276" w:lineRule="auto"/>
        <w:rPr>
          <w:rFonts w:ascii="Arial" w:hAnsi="Arial" w:cs="Arial"/>
          <w:b/>
          <w:sz w:val="24"/>
          <w:szCs w:val="24"/>
        </w:rPr>
      </w:pPr>
      <w:r w:rsidRPr="00674DC4">
        <w:rPr>
          <w:rFonts w:ascii="Arial" w:hAnsi="Arial" w:cs="Arial"/>
          <w:b/>
          <w:sz w:val="24"/>
          <w:szCs w:val="24"/>
        </w:rPr>
        <w:t xml:space="preserve"> </w:t>
      </w:r>
      <w:r w:rsidRPr="00674DC4">
        <w:rPr>
          <w:rFonts w:ascii="Arial" w:hAnsi="Arial" w:cs="Arial"/>
          <w:sz w:val="24"/>
          <w:szCs w:val="24"/>
        </w:rPr>
        <w:t xml:space="preserve">To ensure that all visitors of patients of Kiowa County Memorial Hospital enjoy equal visitation privileges consistent with patient preferences and subject to the Hospital’s Justified Clinical Restrictions. </w:t>
      </w:r>
    </w:p>
    <w:p w:rsidR="00674DC4" w:rsidRPr="00674DC4" w:rsidRDefault="00674DC4" w:rsidP="00674DC4">
      <w:pPr>
        <w:pStyle w:val="ListParagraph"/>
        <w:numPr>
          <w:ilvl w:val="1"/>
          <w:numId w:val="3"/>
        </w:numPr>
        <w:spacing w:line="276" w:lineRule="auto"/>
        <w:rPr>
          <w:rFonts w:ascii="Arial" w:hAnsi="Arial" w:cs="Arial"/>
          <w:b/>
          <w:sz w:val="24"/>
          <w:szCs w:val="24"/>
        </w:rPr>
      </w:pPr>
      <w:r w:rsidRPr="00674DC4">
        <w:rPr>
          <w:rFonts w:ascii="Arial" w:hAnsi="Arial" w:cs="Arial"/>
          <w:sz w:val="24"/>
          <w:szCs w:val="24"/>
        </w:rPr>
        <w:t>The visitation policy is designed to protect patients’ priva</w:t>
      </w:r>
      <w:r>
        <w:rPr>
          <w:rFonts w:ascii="Arial" w:hAnsi="Arial" w:cs="Arial"/>
          <w:sz w:val="24"/>
          <w:szCs w:val="24"/>
        </w:rPr>
        <w:t>cy and increase their comfort.</w:t>
      </w:r>
    </w:p>
    <w:p w:rsidR="00674DC4" w:rsidRPr="00674DC4" w:rsidRDefault="00674DC4" w:rsidP="00674DC4">
      <w:pPr>
        <w:pStyle w:val="ListParagraph"/>
        <w:numPr>
          <w:ilvl w:val="1"/>
          <w:numId w:val="3"/>
        </w:numPr>
        <w:spacing w:line="276" w:lineRule="auto"/>
        <w:rPr>
          <w:rFonts w:ascii="Arial" w:hAnsi="Arial" w:cs="Arial"/>
          <w:b/>
          <w:sz w:val="24"/>
          <w:szCs w:val="24"/>
        </w:rPr>
      </w:pPr>
      <w:r w:rsidRPr="00674DC4">
        <w:rPr>
          <w:rFonts w:ascii="Arial" w:hAnsi="Arial" w:cs="Arial"/>
          <w:sz w:val="24"/>
          <w:szCs w:val="24"/>
        </w:rPr>
        <w:t>The purpose of this policy is to</w:t>
      </w:r>
      <w:r>
        <w:rPr>
          <w:rFonts w:ascii="Arial" w:hAnsi="Arial" w:cs="Arial"/>
          <w:sz w:val="24"/>
          <w:szCs w:val="24"/>
        </w:rPr>
        <w:t>:</w:t>
      </w:r>
    </w:p>
    <w:p w:rsidR="00674DC4" w:rsidRPr="00674DC4" w:rsidRDefault="00674DC4" w:rsidP="00674DC4">
      <w:pPr>
        <w:pStyle w:val="ListParagraph"/>
        <w:numPr>
          <w:ilvl w:val="2"/>
          <w:numId w:val="3"/>
        </w:numPr>
        <w:spacing w:line="276" w:lineRule="auto"/>
        <w:rPr>
          <w:rFonts w:ascii="Arial" w:hAnsi="Arial" w:cs="Arial"/>
          <w:b/>
          <w:sz w:val="24"/>
          <w:szCs w:val="24"/>
        </w:rPr>
      </w:pPr>
      <w:r w:rsidRPr="00674DC4">
        <w:rPr>
          <w:rFonts w:ascii="Arial" w:hAnsi="Arial" w:cs="Arial"/>
          <w:sz w:val="24"/>
          <w:szCs w:val="24"/>
        </w:rPr>
        <w:t xml:space="preserve"> create a reasonable, enforceable policy that provides all patients with the opportunity to rest and recover in comfortable, quiet, private surroundings while enabling family and friends to par</w:t>
      </w:r>
      <w:r>
        <w:rPr>
          <w:rFonts w:ascii="Arial" w:hAnsi="Arial" w:cs="Arial"/>
          <w:sz w:val="24"/>
          <w:szCs w:val="24"/>
        </w:rPr>
        <w:t>ticipate in the healing process</w:t>
      </w:r>
    </w:p>
    <w:p w:rsidR="00674DC4" w:rsidRPr="00674DC4" w:rsidRDefault="00674DC4" w:rsidP="00674DC4">
      <w:pPr>
        <w:pStyle w:val="ListParagraph"/>
        <w:numPr>
          <w:ilvl w:val="2"/>
          <w:numId w:val="3"/>
        </w:numPr>
        <w:spacing w:line="276" w:lineRule="auto"/>
        <w:rPr>
          <w:rFonts w:ascii="Arial" w:hAnsi="Arial" w:cs="Arial"/>
          <w:b/>
          <w:sz w:val="24"/>
          <w:szCs w:val="24"/>
        </w:rPr>
      </w:pPr>
      <w:r>
        <w:rPr>
          <w:rFonts w:ascii="Arial" w:hAnsi="Arial" w:cs="Arial"/>
          <w:sz w:val="24"/>
          <w:szCs w:val="24"/>
        </w:rPr>
        <w:t xml:space="preserve">and </w:t>
      </w:r>
      <w:r w:rsidRPr="00674DC4">
        <w:rPr>
          <w:rFonts w:ascii="Arial" w:hAnsi="Arial" w:cs="Arial"/>
          <w:sz w:val="24"/>
          <w:szCs w:val="24"/>
        </w:rPr>
        <w:t>to enhance the cohesiveness of the family unit and the patient’s support systems</w:t>
      </w:r>
    </w:p>
    <w:p w:rsidR="00F94912" w:rsidRDefault="00674DC4" w:rsidP="00674DC4">
      <w:pPr>
        <w:pStyle w:val="ListParagraph"/>
        <w:numPr>
          <w:ilvl w:val="2"/>
          <w:numId w:val="3"/>
        </w:numPr>
        <w:spacing w:line="276" w:lineRule="auto"/>
        <w:rPr>
          <w:rFonts w:ascii="Arial" w:hAnsi="Arial" w:cs="Arial"/>
          <w:b/>
          <w:sz w:val="24"/>
          <w:szCs w:val="24"/>
        </w:rPr>
      </w:pPr>
      <w:proofErr w:type="gramStart"/>
      <w:r w:rsidRPr="00674DC4">
        <w:rPr>
          <w:rFonts w:ascii="Arial" w:hAnsi="Arial" w:cs="Arial"/>
          <w:sz w:val="24"/>
          <w:szCs w:val="24"/>
        </w:rPr>
        <w:t>and</w:t>
      </w:r>
      <w:proofErr w:type="gramEnd"/>
      <w:r w:rsidRPr="00674DC4">
        <w:rPr>
          <w:rFonts w:ascii="Arial" w:hAnsi="Arial" w:cs="Arial"/>
          <w:sz w:val="24"/>
          <w:szCs w:val="24"/>
        </w:rPr>
        <w:t xml:space="preserve"> to provide access control that protects the rights of patients, visitors, and employees, to a safe, secure, and orderly environment</w:t>
      </w:r>
      <w:r w:rsidRPr="00674DC4">
        <w:rPr>
          <w:rFonts w:ascii="Arial" w:hAnsi="Arial" w:cs="Arial"/>
          <w:b/>
          <w:sz w:val="24"/>
          <w:szCs w:val="24"/>
        </w:rPr>
        <w:t>.</w:t>
      </w:r>
    </w:p>
    <w:p w:rsidR="00674DC4" w:rsidRDefault="00674DC4" w:rsidP="00674DC4">
      <w:pPr>
        <w:pStyle w:val="ListParagraph"/>
        <w:numPr>
          <w:ilvl w:val="0"/>
          <w:numId w:val="3"/>
        </w:numPr>
        <w:spacing w:line="276" w:lineRule="auto"/>
        <w:rPr>
          <w:rFonts w:ascii="Arial" w:hAnsi="Arial" w:cs="Arial"/>
          <w:sz w:val="24"/>
          <w:szCs w:val="24"/>
        </w:rPr>
      </w:pPr>
      <w:r w:rsidRPr="00674DC4">
        <w:rPr>
          <w:rFonts w:ascii="Arial" w:hAnsi="Arial" w:cs="Arial"/>
          <w:b/>
          <w:bCs/>
          <w:sz w:val="24"/>
          <w:szCs w:val="24"/>
        </w:rPr>
        <w:t xml:space="preserve">Scope. </w:t>
      </w:r>
      <w:r w:rsidRPr="00674DC4">
        <w:rPr>
          <w:rFonts w:ascii="Arial" w:hAnsi="Arial" w:cs="Arial"/>
          <w:sz w:val="24"/>
          <w:szCs w:val="24"/>
        </w:rPr>
        <w:t>This policy applies to the Hospital, its physicians and clinical staff members and all Hospital personnel involved in the decision-making process with respect to patient visitation.</w:t>
      </w:r>
    </w:p>
    <w:p w:rsidR="00674DC4" w:rsidRDefault="00674DC4" w:rsidP="00674DC4">
      <w:pPr>
        <w:pStyle w:val="ListParagraph"/>
        <w:numPr>
          <w:ilvl w:val="0"/>
          <w:numId w:val="3"/>
        </w:numPr>
        <w:spacing w:line="276" w:lineRule="auto"/>
        <w:rPr>
          <w:rFonts w:ascii="Arial" w:hAnsi="Arial" w:cs="Arial"/>
          <w:sz w:val="24"/>
          <w:szCs w:val="24"/>
        </w:rPr>
      </w:pPr>
      <w:r w:rsidRPr="00674DC4">
        <w:rPr>
          <w:rFonts w:ascii="Arial" w:hAnsi="Arial" w:cs="Arial"/>
          <w:b/>
          <w:sz w:val="24"/>
          <w:szCs w:val="24"/>
        </w:rPr>
        <w:t>Definitions</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b/>
          <w:sz w:val="24"/>
          <w:szCs w:val="24"/>
        </w:rPr>
        <w:t>Justified Clinical Restrictions</w:t>
      </w:r>
      <w:r w:rsidRPr="00975BF3">
        <w:rPr>
          <w:rFonts w:ascii="Arial" w:hAnsi="Arial" w:cs="Arial"/>
          <w:sz w:val="24"/>
          <w:szCs w:val="24"/>
        </w:rPr>
        <w:t xml:space="preserve"> - means any clinically necessary or reasonable restriction or limitation imposed by the Hospital on a patient’s visitation rights which restriction or limitation is necessary to provide safe care to patient or other patients. A Justified Clinical Restriction may include, but need not be limited to one or more of the following: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a court order limiting or restraining contact;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behavior presenting a direct risk or threat to the patient, Hospital staff, or others in the immediate environment;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behavior disruptive of the functioning of the patient care unit;</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reasonable limitations on the number of visitors at any one time;</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patient’s risk of infection by the visitor;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visitor’s risk of infection by the patient;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extraordinary protections because of a pandemic </w:t>
      </w:r>
      <w:r>
        <w:rPr>
          <w:rFonts w:ascii="Arial" w:hAnsi="Arial" w:cs="Arial"/>
          <w:sz w:val="24"/>
          <w:szCs w:val="24"/>
        </w:rPr>
        <w:t>or infectious disease outbreak;</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substance abuse treatment protocols requiring restricted visitation;</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patient’s need for privacy or rest;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need for privacy or rest by another individual in the patient’s shared room; or </w:t>
      </w:r>
    </w:p>
    <w:p w:rsidR="00975BF3" w:rsidRPr="00975BF3" w:rsidRDefault="00975BF3" w:rsidP="00975BF3">
      <w:pPr>
        <w:pStyle w:val="ListParagraph"/>
        <w:numPr>
          <w:ilvl w:val="2"/>
          <w:numId w:val="3"/>
        </w:numPr>
        <w:spacing w:line="276" w:lineRule="auto"/>
        <w:rPr>
          <w:rFonts w:ascii="Arial" w:hAnsi="Arial" w:cs="Arial"/>
          <w:sz w:val="24"/>
          <w:szCs w:val="24"/>
        </w:rPr>
      </w:pPr>
      <w:proofErr w:type="gramStart"/>
      <w:r w:rsidRPr="00975BF3">
        <w:rPr>
          <w:rFonts w:ascii="Arial" w:hAnsi="Arial" w:cs="Arial"/>
          <w:sz w:val="24"/>
          <w:szCs w:val="24"/>
        </w:rPr>
        <w:t>when</w:t>
      </w:r>
      <w:proofErr w:type="gramEnd"/>
      <w:r w:rsidRPr="00975BF3">
        <w:rPr>
          <w:rFonts w:ascii="Arial" w:hAnsi="Arial" w:cs="Arial"/>
          <w:sz w:val="24"/>
          <w:szCs w:val="24"/>
        </w:rPr>
        <w:t xml:space="preserve"> patient is undergoing a clinical intervention or procedure and the treating health care professional believes it is in the patient’s best interest to limit visitation during the clinical intervention or procedure.</w:t>
      </w:r>
    </w:p>
    <w:p w:rsidR="00975BF3" w:rsidRP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b/>
          <w:sz w:val="24"/>
          <w:szCs w:val="24"/>
        </w:rPr>
        <w:lastRenderedPageBreak/>
        <w:t>Patient</w:t>
      </w:r>
      <w:r w:rsidRPr="00975BF3">
        <w:rPr>
          <w:rFonts w:ascii="Arial" w:hAnsi="Arial" w:cs="Arial"/>
          <w:sz w:val="24"/>
          <w:szCs w:val="24"/>
        </w:rPr>
        <w:t xml:space="preserve"> - means anyone admitted to the Hospital as an in-patient of the Hospital.</w:t>
      </w:r>
    </w:p>
    <w:p w:rsidR="00975BF3" w:rsidRP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b/>
          <w:sz w:val="24"/>
          <w:szCs w:val="24"/>
        </w:rPr>
        <w:t>Support Person</w:t>
      </w:r>
      <w:r w:rsidRPr="00975BF3">
        <w:rPr>
          <w:rFonts w:ascii="Arial" w:hAnsi="Arial" w:cs="Arial"/>
          <w:sz w:val="24"/>
          <w:szCs w:val="24"/>
        </w:rPr>
        <w:t xml:space="preserve"> - means a family member, friend or other individual who is at the Hospital to support the patient during the course of the patient’s stay at the Hospital and may exercise the patient’s visitation rights on patient’s behalf if patient is unable to do so. Such individual may but need not be an individual legally responsible for making medical decisions on the patient’s behalf.</w:t>
      </w:r>
    </w:p>
    <w:p w:rsidR="00674DC4" w:rsidRPr="00975BF3" w:rsidRDefault="00975BF3" w:rsidP="00975BF3">
      <w:pPr>
        <w:pStyle w:val="ListParagraph"/>
        <w:numPr>
          <w:ilvl w:val="0"/>
          <w:numId w:val="3"/>
        </w:numPr>
        <w:spacing w:line="276" w:lineRule="auto"/>
        <w:rPr>
          <w:rFonts w:ascii="Arial" w:hAnsi="Arial" w:cs="Arial"/>
          <w:sz w:val="24"/>
          <w:szCs w:val="24"/>
        </w:rPr>
      </w:pPr>
      <w:r>
        <w:rPr>
          <w:rFonts w:ascii="Arial" w:hAnsi="Arial" w:cs="Arial"/>
          <w:b/>
          <w:sz w:val="24"/>
          <w:szCs w:val="24"/>
        </w:rPr>
        <w:t>Policy</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 xml:space="preserve">Statement of Patient Visitation Rights.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Prior to care being provided, the Hospital shall inform each patient at the time he or she is informed of his or her other rights (or his or her Support Person, where appropriate) in writing of: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 xml:space="preserve">patient’s visitation rights;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patient’s right to receive the visitors whom he or she designates, including, but not limited to, a spouse, a domestic partner (including a same sex domestic partner), another family member, or a friend;</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 xml:space="preserve">patient’s right to withdraw or deny such consent at any time; and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Justified Clinical Restrictions which may be imposed on a patient’s visitation rights. All visitors designated by the patient (or Support Person where appropriate) shall enjoy visitation privileges that are no more restrictive than those that immediate family members would enjoy.</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 xml:space="preserve">Selection of Visitors.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The Hospital shall accept verbal confirmation from a patient of individuals who should be admitted as visitors of the patient and individuals who should be denied visitation rights. The Hospital may record such information in the patient’s records for future reference. In the event the patient is a minor, the legal parent of the minor shall be given the opportunity to verbally designate the individuals permitted to visit the minor patient.</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 xml:space="preserve">Selection of a Support Person.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A patient may verbally designate a Support Person to exercise the patient’s visitation rights on his or her behalf, should the patient be unable to do so. Upon such designation by a patient, the legal status of the relationship between the patient and the designated Support Person shall be irrelevant. This designation of an individual as the patient’s Support Person however does not extend to medical decision making. In the event the patient is unable to exercise his or her patient visitation rights, the Hospital shall recognize the Support Person’s verbal directive as to who should be admitted as visitors of the patient and individuals who should be denied visitation rights with respect to such patient.</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 xml:space="preserve">Incapacitated Patients.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In the event a patient is unable to select visitors due to incapacitation and such patient has not designated a Support Person to exercise the patient’s visitation rights, the Hospital may consider the following non-exhaustive forms of proof to establish the appropriateness of a visitor or to designate a Support Person for the incapacitated patient when two or more individuals claim to be the incapacitated patient’s Support Person capable of exercising the patient’s visitation rights:</w:t>
      </w:r>
    </w:p>
    <w:p w:rsidR="00975BF3" w:rsidRDefault="00975BF3" w:rsidP="00975BF3">
      <w:pPr>
        <w:pStyle w:val="ListParagraph"/>
        <w:numPr>
          <w:ilvl w:val="3"/>
          <w:numId w:val="3"/>
        </w:numPr>
        <w:spacing w:line="276" w:lineRule="auto"/>
        <w:rPr>
          <w:rFonts w:ascii="Arial" w:hAnsi="Arial" w:cs="Arial"/>
          <w:sz w:val="24"/>
          <w:szCs w:val="24"/>
        </w:rPr>
      </w:pPr>
      <w:r>
        <w:rPr>
          <w:rFonts w:ascii="Arial" w:hAnsi="Arial" w:cs="Arial"/>
          <w:sz w:val="24"/>
          <w:szCs w:val="24"/>
        </w:rPr>
        <w:t xml:space="preserve"> </w:t>
      </w:r>
      <w:r w:rsidRPr="00975BF3">
        <w:rPr>
          <w:rFonts w:ascii="Arial" w:hAnsi="Arial" w:cs="Arial"/>
          <w:sz w:val="24"/>
          <w:szCs w:val="24"/>
        </w:rPr>
        <w:t xml:space="preserve">an advance directive naming the individual as a support person, approved </w:t>
      </w:r>
      <w:r w:rsidRPr="00975BF3">
        <w:rPr>
          <w:rFonts w:ascii="Arial" w:hAnsi="Arial" w:cs="Arial"/>
          <w:sz w:val="24"/>
          <w:szCs w:val="24"/>
        </w:rPr>
        <w:lastRenderedPageBreak/>
        <w:t xml:space="preserve">visitor, or designated decision maker (regardless of the State in which the directive is established);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 xml:space="preserve">shared residence;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 xml:space="preserve">shared ownership of a property or business;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 xml:space="preserve">financial interdependence;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 xml:space="preserve">marital/relationship status; </w:t>
      </w:r>
    </w:p>
    <w:p w:rsidR="00975BF3" w:rsidRDefault="00975BF3" w:rsidP="00975BF3">
      <w:pPr>
        <w:pStyle w:val="ListParagraph"/>
        <w:numPr>
          <w:ilvl w:val="3"/>
          <w:numId w:val="3"/>
        </w:numPr>
        <w:spacing w:line="276" w:lineRule="auto"/>
        <w:rPr>
          <w:rFonts w:ascii="Arial" w:hAnsi="Arial" w:cs="Arial"/>
          <w:sz w:val="24"/>
          <w:szCs w:val="24"/>
        </w:rPr>
      </w:pPr>
      <w:r w:rsidRPr="00975BF3">
        <w:rPr>
          <w:rFonts w:ascii="Arial" w:hAnsi="Arial" w:cs="Arial"/>
          <w:sz w:val="24"/>
          <w:szCs w:val="24"/>
        </w:rPr>
        <w:t>existence of a legal relationship (may be a legal relationship recognized in another jurisdiction, even if not recognized in the Hospital’s jurisdiction, including: parent-child, civil union, marriage, or domestic partnership);</w:t>
      </w:r>
    </w:p>
    <w:p w:rsidR="00975BF3" w:rsidRDefault="00975BF3" w:rsidP="00975BF3">
      <w:pPr>
        <w:pStyle w:val="ListParagraph"/>
        <w:numPr>
          <w:ilvl w:val="3"/>
          <w:numId w:val="3"/>
        </w:numPr>
        <w:spacing w:line="276" w:lineRule="auto"/>
        <w:rPr>
          <w:rFonts w:ascii="Arial" w:hAnsi="Arial" w:cs="Arial"/>
          <w:sz w:val="24"/>
          <w:szCs w:val="24"/>
        </w:rPr>
      </w:pPr>
      <w:r>
        <w:rPr>
          <w:rFonts w:ascii="Arial" w:hAnsi="Arial" w:cs="Arial"/>
          <w:sz w:val="24"/>
          <w:szCs w:val="24"/>
        </w:rPr>
        <w:t>a</w:t>
      </w:r>
      <w:r w:rsidRPr="00975BF3">
        <w:rPr>
          <w:rFonts w:ascii="Arial" w:hAnsi="Arial" w:cs="Arial"/>
          <w:sz w:val="24"/>
          <w:szCs w:val="24"/>
        </w:rPr>
        <w:t xml:space="preserve">cknowledgement of a committed relationship </w:t>
      </w:r>
      <w:r>
        <w:rPr>
          <w:rFonts w:ascii="Arial" w:hAnsi="Arial" w:cs="Arial"/>
          <w:sz w:val="24"/>
          <w:szCs w:val="24"/>
        </w:rPr>
        <w:t>(e.g., an affidavit); or</w:t>
      </w:r>
    </w:p>
    <w:p w:rsidR="00975BF3" w:rsidRDefault="00975BF3" w:rsidP="00975BF3">
      <w:pPr>
        <w:pStyle w:val="ListParagraph"/>
        <w:numPr>
          <w:ilvl w:val="3"/>
          <w:numId w:val="3"/>
        </w:numPr>
        <w:spacing w:line="276"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r w:rsidRPr="00975BF3">
        <w:rPr>
          <w:rFonts w:ascii="Arial" w:hAnsi="Arial" w:cs="Arial"/>
          <w:sz w:val="24"/>
          <w:szCs w:val="24"/>
        </w:rPr>
        <w:t>written documentation of the patient’s chosen individual(s) even if it is not a legally recognized advance directive.</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Justified Clinical Restrictions on Patient’s Visitation Rights.</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The Hospital may impose Justified Clinical Restrictions on a patient’s visitation rights. When restricting visitation rights, the Hospital shall explain to the patient (or Support Person as applicable) the reasons for the restrictions or limitations on the patient’s visitation rights and how the Hospital’s visitation policies are aimed at protecting the health and safety of all patients. </w:t>
      </w:r>
    </w:p>
    <w:p w:rsid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The Hospital shall not restrict, limit or otherwise deny visitation privileges on the basis of race, color, national origin, religion, sex, gender identity, sexual orientation or disability.</w:t>
      </w:r>
    </w:p>
    <w:p w:rsidR="00975BF3" w:rsidRPr="00975BF3" w:rsidRDefault="00975BF3" w:rsidP="00975BF3">
      <w:pPr>
        <w:pStyle w:val="ListParagraph"/>
        <w:numPr>
          <w:ilvl w:val="0"/>
          <w:numId w:val="3"/>
        </w:numPr>
        <w:spacing w:line="276" w:lineRule="auto"/>
        <w:rPr>
          <w:rFonts w:ascii="Arial" w:hAnsi="Arial" w:cs="Arial"/>
          <w:b/>
          <w:sz w:val="24"/>
          <w:szCs w:val="24"/>
        </w:rPr>
      </w:pPr>
      <w:r w:rsidRPr="00975BF3">
        <w:rPr>
          <w:rFonts w:ascii="Arial" w:hAnsi="Arial" w:cs="Arial"/>
          <w:b/>
          <w:sz w:val="24"/>
          <w:szCs w:val="24"/>
        </w:rPr>
        <w:t>Procedure</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At KCMH, visitors are welcome 24 hours a day. Visitation will be restricted for the following reasons:</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At patient request or legal guardian if patient is under age or becomes incapacitated.</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Patient is observed by his or her nurse to be sleeping.</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Patient is undergoing a medical procedure.</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Restrictions initiated by KCMH seni</w:t>
      </w:r>
      <w:r w:rsidR="00145CE1">
        <w:rPr>
          <w:rFonts w:ascii="Arial" w:hAnsi="Arial" w:cs="Arial"/>
          <w:sz w:val="24"/>
          <w:szCs w:val="24"/>
        </w:rPr>
        <w:t xml:space="preserve">or leadership </w:t>
      </w:r>
      <w:r w:rsidRPr="00975BF3">
        <w:rPr>
          <w:rFonts w:ascii="Arial" w:hAnsi="Arial" w:cs="Arial"/>
          <w:sz w:val="24"/>
          <w:szCs w:val="24"/>
        </w:rPr>
        <w:t>due to a crisis or special situation.</w:t>
      </w:r>
    </w:p>
    <w:p w:rsid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Restriction will be posted on the patient door, or in case of Hospital–wide restriction, at the main entrances.</w:t>
      </w:r>
    </w:p>
    <w:p w:rsidR="00975BF3" w:rsidRPr="00975BF3" w:rsidRDefault="00975BF3" w:rsidP="00975BF3">
      <w:pPr>
        <w:pStyle w:val="ListParagraph"/>
        <w:numPr>
          <w:ilvl w:val="0"/>
          <w:numId w:val="3"/>
        </w:numPr>
        <w:spacing w:line="276" w:lineRule="auto"/>
        <w:rPr>
          <w:rFonts w:ascii="Arial" w:hAnsi="Arial" w:cs="Arial"/>
          <w:sz w:val="24"/>
          <w:szCs w:val="24"/>
        </w:rPr>
      </w:pPr>
      <w:r>
        <w:rPr>
          <w:rFonts w:ascii="Arial" w:hAnsi="Arial" w:cs="Arial"/>
          <w:b/>
          <w:sz w:val="24"/>
          <w:szCs w:val="24"/>
        </w:rPr>
        <w:t>Guidelines</w:t>
      </w:r>
    </w:p>
    <w:p w:rsidR="00975BF3" w:rsidRP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Guidelines and information for public:</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KCMH has developed visitor guidelines to protect the patients, visitors, and staff. Failure to cooperate with the following guidelines or Hospital staff requests may result in removal from KCMH’s property.</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Signs are posted on patient room door to indicate isolation precautions. Visitors must check with a patient’s nurse prior to entering the patient room in order to receive specific instructions about isolation precaution procedures.</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“No Visitation” signs indicate the patient has requested no visitation, is sleeping, or undergoing a medical consult or procedure. No entry is allowed, but visitors may ask at the nursing station to leave a note or receive information on when visitation will resume.</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 xml:space="preserve">A visitor may not enter areas posted with an “Authorized Personnel Only” sign. </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lastRenderedPageBreak/>
        <w:t>Visitors are asked not to visit patients if they have a cold, cough, or other communicable illness. It is important to restrict exposure in order to prevent the spread of infectious diseases among patients, staff, volunteers and other visitors. When a patient requests visitation, the Hospital will make masks and other personal protective equipment available with instruction on its use.</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Visitors may only go to the bedside of a child they are visiting.</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Children under 12 years of age must be accompanied by an adult at all times.</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Visitors are required to wear shirts and shoes and conduct themselves in a quiet and considerate manner.</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Visitors cannot consume alcohol products or smoke on Hospital property.</w:t>
      </w:r>
    </w:p>
    <w:p w:rsidR="00975BF3" w:rsidRPr="00975BF3" w:rsidRDefault="00975BF3" w:rsidP="00975BF3">
      <w:pPr>
        <w:pStyle w:val="ListParagraph"/>
        <w:numPr>
          <w:ilvl w:val="2"/>
          <w:numId w:val="3"/>
        </w:numPr>
        <w:spacing w:line="276" w:lineRule="auto"/>
        <w:rPr>
          <w:rFonts w:ascii="Arial" w:hAnsi="Arial" w:cs="Arial"/>
          <w:sz w:val="24"/>
          <w:szCs w:val="24"/>
        </w:rPr>
      </w:pPr>
      <w:r w:rsidRPr="00975BF3">
        <w:rPr>
          <w:rFonts w:ascii="Arial" w:hAnsi="Arial" w:cs="Arial"/>
          <w:sz w:val="24"/>
          <w:szCs w:val="24"/>
        </w:rPr>
        <w:t>Visitors are asked to wash their hands or use hand sanitizer prior to entering a patient room and when exiting.</w:t>
      </w:r>
    </w:p>
    <w:p w:rsidR="00975BF3" w:rsidRPr="00975BF3" w:rsidRDefault="00975BF3" w:rsidP="00975BF3">
      <w:pPr>
        <w:pStyle w:val="ListParagraph"/>
        <w:numPr>
          <w:ilvl w:val="0"/>
          <w:numId w:val="3"/>
        </w:numPr>
        <w:spacing w:line="276" w:lineRule="auto"/>
        <w:rPr>
          <w:rFonts w:ascii="Arial" w:hAnsi="Arial" w:cs="Arial"/>
          <w:sz w:val="24"/>
          <w:szCs w:val="24"/>
        </w:rPr>
      </w:pPr>
      <w:r>
        <w:rPr>
          <w:rFonts w:ascii="Arial" w:hAnsi="Arial" w:cs="Arial"/>
          <w:b/>
          <w:sz w:val="24"/>
          <w:szCs w:val="24"/>
        </w:rPr>
        <w:t>Grievance</w:t>
      </w:r>
    </w:p>
    <w:p w:rsidR="00975BF3" w:rsidRP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 If any patient of the Hospital believes that his or her patient visitation rights have been violated, they may file a complaint using the Hospital’s internal grievance system.</w:t>
      </w:r>
    </w:p>
    <w:p w:rsidR="00975BF3" w:rsidRDefault="00975BF3" w:rsidP="00975BF3">
      <w:pPr>
        <w:pStyle w:val="ListParagraph"/>
        <w:numPr>
          <w:ilvl w:val="0"/>
          <w:numId w:val="3"/>
        </w:numPr>
        <w:spacing w:line="276" w:lineRule="auto"/>
        <w:rPr>
          <w:rFonts w:ascii="Arial" w:hAnsi="Arial" w:cs="Arial"/>
          <w:sz w:val="24"/>
          <w:szCs w:val="24"/>
        </w:rPr>
      </w:pPr>
      <w:r w:rsidRPr="00975BF3">
        <w:rPr>
          <w:rFonts w:ascii="Arial" w:hAnsi="Arial" w:cs="Arial"/>
          <w:b/>
          <w:sz w:val="24"/>
          <w:szCs w:val="24"/>
        </w:rPr>
        <w:t>Enforcement</w:t>
      </w:r>
    </w:p>
    <w:p w:rsidR="00975BF3" w:rsidRPr="00975BF3" w:rsidRDefault="00975BF3" w:rsidP="00975BF3">
      <w:pPr>
        <w:pStyle w:val="ListParagraph"/>
        <w:numPr>
          <w:ilvl w:val="1"/>
          <w:numId w:val="3"/>
        </w:numPr>
        <w:spacing w:line="276" w:lineRule="auto"/>
        <w:rPr>
          <w:rFonts w:ascii="Arial" w:hAnsi="Arial" w:cs="Arial"/>
          <w:sz w:val="24"/>
          <w:szCs w:val="24"/>
        </w:rPr>
      </w:pPr>
      <w:r w:rsidRPr="00975BF3">
        <w:rPr>
          <w:rFonts w:ascii="Arial" w:hAnsi="Arial" w:cs="Arial"/>
          <w:sz w:val="24"/>
          <w:szCs w:val="24"/>
        </w:rPr>
        <w:t>Visitors who do not follow this visitation policy may be removed from Hospital property by Hospital Security.</w:t>
      </w:r>
    </w:p>
    <w:p w:rsidR="00975BF3" w:rsidRPr="00975BF3" w:rsidRDefault="00975BF3" w:rsidP="00975BF3">
      <w:pPr>
        <w:spacing w:line="276" w:lineRule="auto"/>
        <w:rPr>
          <w:rFonts w:ascii="Arial" w:hAnsi="Arial" w:cs="Arial"/>
          <w:b/>
          <w:sz w:val="24"/>
          <w:szCs w:val="24"/>
        </w:rPr>
      </w:pPr>
    </w:p>
    <w:sectPr w:rsidR="00975BF3" w:rsidRPr="00975BF3" w:rsidSect="001F3CEE">
      <w:headerReference w:type="default" r:id="rId7"/>
      <w:footerReference w:type="default" r:id="rId8"/>
      <w:headerReference w:type="first" r:id="rId9"/>
      <w:footerReference w:type="first" r:id="rId10"/>
      <w:pgSz w:w="12240" w:h="15840"/>
      <w:pgMar w:top="720" w:right="720" w:bottom="720" w:left="720" w:header="432" w:footer="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5E4" w:rsidRDefault="000F35E4">
      <w:r>
        <w:separator/>
      </w:r>
    </w:p>
  </w:endnote>
  <w:endnote w:type="continuationSeparator" w:id="0">
    <w:p w:rsidR="000F35E4" w:rsidRDefault="000F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7" w:rsidRPr="00B60196" w:rsidRDefault="00C249CA" w:rsidP="00221103">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9016B1" w:rsidRPr="00B60196" w:rsidTr="001F3CEE">
      <w:tc>
        <w:tcPr>
          <w:tcW w:w="1435" w:type="dxa"/>
          <w:shd w:val="clear" w:color="auto" w:fill="F2F2F2" w:themeFill="background1" w:themeFillShade="F2"/>
          <w:vAlign w:val="center"/>
        </w:tcPr>
        <w:p w:rsidR="009016B1" w:rsidRPr="00B60196" w:rsidRDefault="009016B1" w:rsidP="009016B1">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rsidR="009016B1" w:rsidRPr="00B60196" w:rsidRDefault="00A95D86" w:rsidP="009016B1">
          <w:pPr>
            <w:pStyle w:val="Header"/>
            <w:rPr>
              <w:rFonts w:ascii="Arial" w:hAnsi="Arial" w:cs="Arial"/>
              <w:sz w:val="16"/>
              <w:szCs w:val="16"/>
            </w:rPr>
          </w:pPr>
          <w:r>
            <w:rPr>
              <w:rFonts w:ascii="Arial" w:hAnsi="Arial" w:cs="Arial"/>
              <w:sz w:val="16"/>
              <w:szCs w:val="16"/>
            </w:rPr>
            <w:t>Visitation Policy</w:t>
          </w:r>
          <w:r w:rsidR="009016B1">
            <w:rPr>
              <w:rFonts w:ascii="Arial" w:hAnsi="Arial" w:cs="Arial"/>
              <w:sz w:val="16"/>
              <w:szCs w:val="16"/>
            </w:rPr>
            <w:fldChar w:fldCharType="begin"/>
          </w:r>
          <w:r w:rsidR="009016B1">
            <w:rPr>
              <w:rFonts w:ascii="Arial" w:hAnsi="Arial" w:cs="Arial"/>
              <w:sz w:val="16"/>
              <w:szCs w:val="16"/>
            </w:rPr>
            <w:instrText xml:space="preserve"> DOCPROPERTY  Title  \* MERGEFORMAT </w:instrText>
          </w:r>
          <w:r w:rsidR="009016B1">
            <w:rPr>
              <w:rFonts w:ascii="Arial" w:hAnsi="Arial" w:cs="Arial"/>
              <w:sz w:val="16"/>
              <w:szCs w:val="16"/>
            </w:rPr>
            <w:fldChar w:fldCharType="end"/>
          </w:r>
          <w:r w:rsidR="009016B1">
            <w:rPr>
              <w:rFonts w:ascii="Arial" w:hAnsi="Arial" w:cs="Arial"/>
              <w:sz w:val="16"/>
              <w:szCs w:val="16"/>
            </w:rPr>
            <w:fldChar w:fldCharType="begin"/>
          </w:r>
          <w:r w:rsidR="009016B1">
            <w:rPr>
              <w:rFonts w:ascii="Arial" w:hAnsi="Arial" w:cs="Arial"/>
              <w:sz w:val="16"/>
              <w:szCs w:val="16"/>
            </w:rPr>
            <w:instrText xml:space="preserve"> INFO  Title  \* MERGEFORMAT </w:instrText>
          </w:r>
          <w:r w:rsidR="009016B1">
            <w:rPr>
              <w:rFonts w:ascii="Arial" w:hAnsi="Arial" w:cs="Arial"/>
              <w:sz w:val="16"/>
              <w:szCs w:val="16"/>
            </w:rPr>
            <w:fldChar w:fldCharType="end"/>
          </w:r>
        </w:p>
      </w:tc>
      <w:tc>
        <w:tcPr>
          <w:tcW w:w="1620" w:type="dxa"/>
          <w:shd w:val="clear" w:color="auto" w:fill="F2F2F2" w:themeFill="background1" w:themeFillShade="F2"/>
          <w:vAlign w:val="center"/>
        </w:tcPr>
        <w:p w:rsidR="009016B1" w:rsidRPr="00B60196" w:rsidRDefault="009016B1" w:rsidP="009016B1">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rsidR="009016B1" w:rsidRPr="00B60196" w:rsidRDefault="009016B1" w:rsidP="009016B1">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C249CA">
            <w:rPr>
              <w:rFonts w:ascii="Arial" w:hAnsi="Arial" w:cs="Arial"/>
              <w:b/>
              <w:bCs/>
              <w:noProof/>
              <w:sz w:val="16"/>
              <w:szCs w:val="16"/>
            </w:rPr>
            <w:t>4</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C249CA">
            <w:rPr>
              <w:rFonts w:ascii="Arial" w:hAnsi="Arial" w:cs="Arial"/>
              <w:b/>
              <w:bCs/>
              <w:noProof/>
              <w:sz w:val="16"/>
              <w:szCs w:val="16"/>
            </w:rPr>
            <w:t>4</w:t>
          </w:r>
          <w:r w:rsidRPr="00B60196">
            <w:rPr>
              <w:rFonts w:ascii="Arial" w:hAnsi="Arial" w:cs="Arial"/>
              <w:b/>
              <w:bCs/>
              <w:sz w:val="16"/>
              <w:szCs w:val="16"/>
            </w:rPr>
            <w:fldChar w:fldCharType="end"/>
          </w:r>
        </w:p>
      </w:tc>
    </w:tr>
  </w:tbl>
  <w:p w:rsidR="00927DD7" w:rsidRPr="002D3B41" w:rsidRDefault="00C249CA" w:rsidP="009016B1">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25142968"/>
      <w:docPartObj>
        <w:docPartGallery w:val="Page Numbers (Bottom of Page)"/>
        <w:docPartUnique/>
      </w:docPartObj>
    </w:sdtPr>
    <w:sdtEndPr/>
    <w:sdtContent>
      <w:sdt>
        <w:sdtPr>
          <w:rPr>
            <w:rFonts w:ascii="Arial" w:hAnsi="Arial" w:cs="Arial"/>
            <w:sz w:val="16"/>
            <w:szCs w:val="16"/>
          </w:rPr>
          <w:id w:val="730812363"/>
          <w:docPartObj>
            <w:docPartGallery w:val="Page Numbers (Top of Page)"/>
            <w:docPartUnique/>
          </w:docPartObj>
        </w:sdtPr>
        <w:sdtEndPr/>
        <w:sdtContent>
          <w:p w:rsidR="006D144F" w:rsidRDefault="00C249CA" w:rsidP="006D144F">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6D144F" w:rsidRPr="00B60196" w:rsidTr="001F3CEE">
              <w:tc>
                <w:tcPr>
                  <w:tcW w:w="1435" w:type="dxa"/>
                  <w:shd w:val="clear" w:color="auto" w:fill="F2F2F2" w:themeFill="background1" w:themeFillShade="F2"/>
                  <w:vAlign w:val="center"/>
                </w:tcPr>
                <w:p w:rsidR="006D144F" w:rsidRPr="00B60196" w:rsidRDefault="00416A16" w:rsidP="006D144F">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rsidR="006D144F" w:rsidRPr="00B60196" w:rsidRDefault="00A95D86" w:rsidP="006D144F">
                  <w:pPr>
                    <w:pStyle w:val="Header"/>
                    <w:rPr>
                      <w:rFonts w:ascii="Arial" w:hAnsi="Arial" w:cs="Arial"/>
                      <w:sz w:val="16"/>
                      <w:szCs w:val="16"/>
                    </w:rPr>
                  </w:pPr>
                  <w:r>
                    <w:rPr>
                      <w:rFonts w:ascii="Arial" w:hAnsi="Arial" w:cs="Arial"/>
                      <w:sz w:val="16"/>
                      <w:szCs w:val="16"/>
                    </w:rPr>
                    <w:t>Visitation Policy</w:t>
                  </w:r>
                </w:p>
              </w:tc>
              <w:tc>
                <w:tcPr>
                  <w:tcW w:w="1620" w:type="dxa"/>
                  <w:shd w:val="clear" w:color="auto" w:fill="F2F2F2" w:themeFill="background1" w:themeFillShade="F2"/>
                  <w:vAlign w:val="center"/>
                </w:tcPr>
                <w:p w:rsidR="006D144F" w:rsidRPr="00B60196" w:rsidRDefault="00416A16" w:rsidP="006D144F">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rsidR="006D144F" w:rsidRPr="00B60196" w:rsidRDefault="00416A16" w:rsidP="006D144F">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C249CA">
                    <w:rPr>
                      <w:rFonts w:ascii="Arial" w:hAnsi="Arial" w:cs="Arial"/>
                      <w:b/>
                      <w:bCs/>
                      <w:noProof/>
                      <w:sz w:val="16"/>
                      <w:szCs w:val="16"/>
                    </w:rPr>
                    <w:t>1</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C249CA">
                    <w:rPr>
                      <w:rFonts w:ascii="Arial" w:hAnsi="Arial" w:cs="Arial"/>
                      <w:b/>
                      <w:bCs/>
                      <w:noProof/>
                      <w:sz w:val="16"/>
                      <w:szCs w:val="16"/>
                    </w:rPr>
                    <w:t>4</w:t>
                  </w:r>
                  <w:r w:rsidRPr="00B60196">
                    <w:rPr>
                      <w:rFonts w:ascii="Arial" w:hAnsi="Arial" w:cs="Arial"/>
                      <w:b/>
                      <w:bCs/>
                      <w:sz w:val="16"/>
                      <w:szCs w:val="16"/>
                    </w:rPr>
                    <w:fldChar w:fldCharType="end"/>
                  </w:r>
                </w:p>
              </w:tc>
            </w:tr>
          </w:tbl>
          <w:p w:rsidR="00927DD7" w:rsidRPr="00B60196" w:rsidRDefault="00C249CA" w:rsidP="006D144F">
            <w:pPr>
              <w:pStyle w:val="Footer"/>
              <w:rPr>
                <w:rFonts w:ascii="Arial" w:hAnsi="Arial" w:cs="Arial"/>
                <w:sz w:val="16"/>
                <w:szCs w:val="16"/>
              </w:rPr>
            </w:pPr>
          </w:p>
        </w:sdtContent>
      </w:sdt>
    </w:sdtContent>
  </w:sdt>
  <w:p w:rsidR="00927DD7" w:rsidRDefault="00416A16" w:rsidP="00E90EA1">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5E4" w:rsidRDefault="000F35E4">
      <w:r>
        <w:separator/>
      </w:r>
    </w:p>
  </w:footnote>
  <w:footnote w:type="continuationSeparator" w:id="0">
    <w:p w:rsidR="000F35E4" w:rsidRDefault="000F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7" w:rsidRDefault="00C249CA" w:rsidP="00221103">
    <w:pPr>
      <w:pStyle w:val="Header"/>
      <w:tabs>
        <w:tab w:val="clear" w:pos="4680"/>
        <w:tab w:val="clear" w:pos="9360"/>
        <w:tab w:val="left" w:pos="19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6Colorful-Accent3"/>
      <w:tblW w:w="11520" w:type="dxa"/>
      <w:tblInd w:w="-360" w:type="dxa"/>
      <w:tblLook w:val="04A0" w:firstRow="1" w:lastRow="0" w:firstColumn="1" w:lastColumn="0" w:noHBand="0" w:noVBand="1"/>
    </w:tblPr>
    <w:tblGrid>
      <w:gridCol w:w="2712"/>
      <w:gridCol w:w="3768"/>
      <w:gridCol w:w="5040"/>
    </w:tblGrid>
    <w:tr w:rsidR="00525E40" w:rsidRPr="0066293A" w:rsidTr="00FF2F1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val="restart"/>
          <w:tcBorders>
            <w:top w:val="single" w:sz="12" w:space="0" w:color="808080" w:themeColor="background1" w:themeShade="80"/>
          </w:tcBorders>
          <w:vAlign w:val="center"/>
        </w:tcPr>
        <w:p w:rsidR="00927DD7" w:rsidRPr="0066293A" w:rsidRDefault="0094706E" w:rsidP="00FF2F13">
          <w:pPr>
            <w:spacing w:before="24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0191C12" wp14:editId="7562BA39">
                <wp:simplePos x="0" y="0"/>
                <wp:positionH relativeFrom="column">
                  <wp:posOffset>-1270</wp:posOffset>
                </wp:positionH>
                <wp:positionV relativeFrom="page">
                  <wp:posOffset>193675</wp:posOffset>
                </wp:positionV>
                <wp:extent cx="1584960" cy="1224280"/>
                <wp:effectExtent l="0" t="0" r="0" b="0"/>
                <wp:wrapTight wrapText="bothSides">
                  <wp:wrapPolygon edited="0">
                    <wp:start x="16096" y="336"/>
                    <wp:lineTo x="2077" y="5041"/>
                    <wp:lineTo x="2077" y="6386"/>
                    <wp:lineTo x="0" y="9747"/>
                    <wp:lineTo x="0" y="11427"/>
                    <wp:lineTo x="260" y="19494"/>
                    <wp:lineTo x="779" y="19830"/>
                    <wp:lineTo x="3375" y="20502"/>
                    <wp:lineTo x="7269" y="20502"/>
                    <wp:lineTo x="15837" y="19830"/>
                    <wp:lineTo x="17654" y="19494"/>
                    <wp:lineTo x="17135" y="17141"/>
                    <wp:lineTo x="19731" y="17141"/>
                    <wp:lineTo x="19990" y="15461"/>
                    <wp:lineTo x="18433" y="11763"/>
                    <wp:lineTo x="21288" y="9075"/>
                    <wp:lineTo x="21288" y="2689"/>
                    <wp:lineTo x="18692" y="336"/>
                    <wp:lineTo x="16096" y="336"/>
                  </wp:wrapPolygon>
                </wp:wrapTight>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1224280"/>
                        </a:xfrm>
                        <a:prstGeom prst="rect">
                          <a:avLst/>
                        </a:prstGeom>
                      </pic:spPr>
                    </pic:pic>
                  </a:graphicData>
                </a:graphic>
                <wp14:sizeRelH relativeFrom="margin">
                  <wp14:pctWidth>0</wp14:pctWidth>
                </wp14:sizeRelH>
                <wp14:sizeRelV relativeFrom="margin">
                  <wp14:pctHeight>0</wp14:pctHeight>
                </wp14:sizeRelV>
              </wp:anchor>
            </w:drawing>
          </w:r>
        </w:p>
        <w:p w:rsidR="00927DD7" w:rsidRPr="0066293A" w:rsidRDefault="00C249CA" w:rsidP="00FF2F13">
          <w:pPr>
            <w:spacing w:before="240"/>
            <w:jc w:val="center"/>
            <w:rPr>
              <w:rFonts w:ascii="Arial" w:hAnsi="Arial" w:cs="Arial"/>
              <w:sz w:val="24"/>
              <w:szCs w:val="24"/>
            </w:rPr>
          </w:pPr>
        </w:p>
      </w:tc>
      <w:tc>
        <w:tcPr>
          <w:tcW w:w="8808" w:type="dxa"/>
          <w:gridSpan w:val="2"/>
          <w:tcBorders>
            <w:top w:val="single" w:sz="12" w:space="0" w:color="808080" w:themeColor="background1" w:themeShade="80"/>
          </w:tcBorders>
          <w:vAlign w:val="center"/>
        </w:tcPr>
        <w:p w:rsidR="00927DD7" w:rsidRPr="00525E40" w:rsidRDefault="00416A16" w:rsidP="000F35E4">
          <w:pPr>
            <w:pStyle w:val="Header"/>
            <w:cnfStyle w:val="100000000000" w:firstRow="1" w:lastRow="0" w:firstColumn="0" w:lastColumn="0" w:oddVBand="0" w:evenVBand="0" w:oddHBand="0" w:evenHBand="0" w:firstRowFirstColumn="0" w:firstRowLastColumn="0" w:lastRowFirstColumn="0" w:lastRowLastColumn="0"/>
            <w:rPr>
              <w:rFonts w:ascii="Arial" w:hAnsi="Arial" w:cs="Arial"/>
              <w:color w:val="7B7B7B"/>
              <w:sz w:val="24"/>
              <w:szCs w:val="24"/>
            </w:rPr>
          </w:pPr>
          <w:r w:rsidRPr="00525E40">
            <w:rPr>
              <w:rFonts w:ascii="Arial" w:hAnsi="Arial" w:cs="Arial"/>
              <w:color w:val="7B7B7B"/>
              <w:sz w:val="24"/>
              <w:szCs w:val="24"/>
            </w:rPr>
            <w:t>POLICY TITLE:</w:t>
          </w:r>
          <w:r w:rsidR="0094706E" w:rsidRPr="00525E40">
            <w:rPr>
              <w:rFonts w:ascii="Arial" w:hAnsi="Arial" w:cs="Arial"/>
              <w:color w:val="7B7B7B"/>
              <w:sz w:val="24"/>
              <w:szCs w:val="24"/>
            </w:rPr>
            <w:t xml:space="preserve"> </w:t>
          </w:r>
          <w:r w:rsidRPr="00525E40">
            <w:rPr>
              <w:rFonts w:ascii="Arial" w:hAnsi="Arial" w:cs="Arial"/>
              <w:color w:val="7B7B7B"/>
              <w:sz w:val="24"/>
              <w:szCs w:val="24"/>
            </w:rPr>
            <w:t xml:space="preserve"> </w:t>
          </w:r>
          <w:sdt>
            <w:sdtPr>
              <w:rPr>
                <w:rFonts w:ascii="Arial" w:hAnsi="Arial" w:cs="Arial"/>
                <w:color w:val="7B7B7B"/>
                <w:sz w:val="24"/>
                <w:szCs w:val="24"/>
              </w:rPr>
              <w:alias w:val="Policy Title"/>
              <w:tag w:val="policyTitle"/>
              <w:id w:val="872507262"/>
              <w:lock w:val="sdtLocked"/>
              <w15:color w:val="008000"/>
              <w:text/>
            </w:sdtPr>
            <w:sdtEndPr/>
            <w:sdtContent>
              <w:r w:rsidR="00674DC4">
                <w:rPr>
                  <w:rFonts w:ascii="Arial" w:hAnsi="Arial" w:cs="Arial"/>
                  <w:color w:val="7B7B7B"/>
                  <w:sz w:val="24"/>
                  <w:szCs w:val="24"/>
                </w:rPr>
                <w:t>Visitation P</w:t>
              </w:r>
              <w:r w:rsidR="00A95D86">
                <w:rPr>
                  <w:rFonts w:ascii="Arial" w:hAnsi="Arial" w:cs="Arial"/>
                  <w:color w:val="7B7B7B"/>
                  <w:sz w:val="24"/>
                  <w:szCs w:val="24"/>
                </w:rPr>
                <w:t>olicy</w:t>
              </w:r>
            </w:sdtContent>
          </w:sdt>
          <w:r w:rsidR="000E5119" w:rsidRPr="00525E40">
            <w:rPr>
              <w:rFonts w:ascii="Arial" w:hAnsi="Arial" w:cs="Arial"/>
              <w:color w:val="7B7B7B"/>
              <w:sz w:val="24"/>
              <w:szCs w:val="24"/>
            </w:rPr>
            <w:fldChar w:fldCharType="begin"/>
          </w:r>
          <w:r w:rsidR="000E5119" w:rsidRPr="00525E40">
            <w:rPr>
              <w:rFonts w:ascii="Arial" w:hAnsi="Arial" w:cs="Arial"/>
              <w:color w:val="7B7B7B"/>
              <w:sz w:val="24"/>
              <w:szCs w:val="24"/>
            </w:rPr>
            <w:instrText xml:space="preserve"> INFO  Subject  \* MERGEFORMAT </w:instrText>
          </w:r>
          <w:r w:rsidR="000E5119" w:rsidRPr="00525E40">
            <w:rPr>
              <w:rFonts w:ascii="Arial" w:hAnsi="Arial" w:cs="Arial"/>
              <w:color w:val="7B7B7B"/>
              <w:sz w:val="24"/>
              <w:szCs w:val="24"/>
            </w:rPr>
            <w:fldChar w:fldCharType="end"/>
          </w:r>
        </w:p>
      </w:tc>
    </w:tr>
    <w:tr w:rsidR="00525E40" w:rsidRPr="0066293A" w:rsidTr="00525E4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tcPr>
        <w:p w:rsidR="00927DD7" w:rsidRPr="0066293A" w:rsidRDefault="00C249CA" w:rsidP="00B60196">
          <w:pPr>
            <w:spacing w:before="240"/>
            <w:rPr>
              <w:rFonts w:ascii="Arial" w:hAnsi="Arial" w:cs="Arial"/>
              <w:noProof/>
              <w:sz w:val="24"/>
              <w:szCs w:val="24"/>
            </w:rPr>
          </w:pPr>
        </w:p>
      </w:tc>
      <w:tc>
        <w:tcPr>
          <w:tcW w:w="8808" w:type="dxa"/>
          <w:gridSpan w:val="2"/>
          <w:shd w:val="clear" w:color="auto" w:fill="F2F2F2" w:themeFill="background1" w:themeFillShade="F2"/>
          <w:vAlign w:val="center"/>
        </w:tcPr>
        <w:p w:rsidR="00927DD7" w:rsidRPr="00525E40" w:rsidRDefault="00416A16" w:rsidP="000F35E4">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OWNER:  </w:t>
          </w:r>
          <w:sdt>
            <w:sdtPr>
              <w:rPr>
                <w:rFonts w:ascii="Arial" w:hAnsi="Arial" w:cs="Arial"/>
                <w:b/>
                <w:bCs/>
                <w:color w:val="7B7B7B"/>
                <w:sz w:val="24"/>
                <w:szCs w:val="24"/>
              </w:rPr>
              <w:alias w:val="Owner"/>
              <w:tag w:val="owner"/>
              <w:id w:val="1316065785"/>
              <w:lock w:val="sdtLocked"/>
              <w15:color w:val="008000"/>
              <w:text/>
            </w:sdtPr>
            <w:sdtEndPr/>
            <w:sdtContent>
              <w:r w:rsidR="000F35E4">
                <w:rPr>
                  <w:rFonts w:ascii="Arial" w:hAnsi="Arial" w:cs="Arial"/>
                  <w:b/>
                  <w:bCs/>
                  <w:color w:val="7B7B7B"/>
                  <w:sz w:val="24"/>
                  <w:szCs w:val="24"/>
                </w:rPr>
                <w:t>Administration</w:t>
              </w:r>
            </w:sdtContent>
          </w:sdt>
        </w:p>
      </w:tc>
    </w:tr>
    <w:tr w:rsidR="0094706E" w:rsidRPr="0066293A" w:rsidTr="00525E40">
      <w:trPr>
        <w:trHeight w:val="748"/>
      </w:trPr>
      <w:tc>
        <w:tcPr>
          <w:cnfStyle w:val="001000000000" w:firstRow="0" w:lastRow="0" w:firstColumn="1" w:lastColumn="0" w:oddVBand="0" w:evenVBand="0" w:oddHBand="0" w:evenHBand="0" w:firstRowFirstColumn="0" w:firstRowLastColumn="0" w:lastRowFirstColumn="0" w:lastRowLastColumn="0"/>
          <w:tcW w:w="2712" w:type="dxa"/>
          <w:vMerge/>
        </w:tcPr>
        <w:p w:rsidR="00927DD7" w:rsidRPr="0066293A" w:rsidRDefault="00C249CA" w:rsidP="00B60196">
          <w:pPr>
            <w:spacing w:before="240"/>
            <w:rPr>
              <w:rFonts w:ascii="Arial" w:hAnsi="Arial" w:cs="Arial"/>
              <w:noProof/>
              <w:sz w:val="24"/>
              <w:szCs w:val="24"/>
            </w:rPr>
          </w:pPr>
        </w:p>
      </w:tc>
      <w:tc>
        <w:tcPr>
          <w:tcW w:w="3768" w:type="dxa"/>
          <w:vAlign w:val="center"/>
        </w:tcPr>
        <w:p w:rsidR="00240C49" w:rsidRPr="00525E40" w:rsidRDefault="00416A16" w:rsidP="00B60196">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DOCUMENT NUMBER:</w:t>
          </w:r>
        </w:p>
        <w:sdt>
          <w:sdtPr>
            <w:rPr>
              <w:rFonts w:ascii="Arial" w:hAnsi="Arial" w:cs="Arial"/>
              <w:b/>
              <w:bCs/>
              <w:color w:val="7B7B7B"/>
              <w:sz w:val="24"/>
              <w:szCs w:val="24"/>
            </w:rPr>
            <w:alias w:val="Document Number"/>
            <w:tag w:val="docNumber"/>
            <w:id w:val="-234549423"/>
            <w:lock w:val="sdtLocked"/>
            <w15:color w:val="008000"/>
            <w:text/>
          </w:sdtPr>
          <w:sdtEndPr/>
          <w:sdtContent>
            <w:p w:rsidR="00927DD7" w:rsidRPr="00525E40" w:rsidRDefault="000F35E4" w:rsidP="000F35E4">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Pr>
                  <w:rFonts w:ascii="Arial" w:hAnsi="Arial" w:cs="Arial"/>
                  <w:b/>
                  <w:bCs/>
                  <w:color w:val="7B7B7B"/>
                  <w:sz w:val="24"/>
                  <w:szCs w:val="24"/>
                </w:rPr>
                <w:t>ADM</w:t>
              </w:r>
              <w:r w:rsidR="003915A7">
                <w:rPr>
                  <w:rFonts w:ascii="Arial" w:hAnsi="Arial" w:cs="Arial"/>
                  <w:b/>
                  <w:bCs/>
                  <w:color w:val="7B7B7B"/>
                  <w:sz w:val="24"/>
                  <w:szCs w:val="24"/>
                </w:rPr>
                <w:t>.051</w:t>
              </w:r>
            </w:p>
          </w:sdtContent>
        </w:sdt>
      </w:tc>
      <w:tc>
        <w:tcPr>
          <w:tcW w:w="5040" w:type="dxa"/>
          <w:vAlign w:val="center"/>
        </w:tcPr>
        <w:p w:rsidR="00927DD7" w:rsidRPr="00525E40" w:rsidRDefault="00416A16" w:rsidP="000F35E4">
          <w:pPr>
            <w:pStyle w:val="Header"/>
            <w:cnfStyle w:val="000000000000" w:firstRow="0" w:lastRow="0" w:firstColumn="0" w:lastColumn="0" w:oddVBand="0" w:evenVBand="0" w:oddHBand="0"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APPROVED BY:  </w:t>
          </w:r>
          <w:sdt>
            <w:sdtPr>
              <w:rPr>
                <w:rFonts w:ascii="Arial" w:hAnsi="Arial" w:cs="Arial"/>
                <w:b/>
                <w:bCs/>
                <w:color w:val="7B7B7B"/>
                <w:sz w:val="24"/>
                <w:szCs w:val="24"/>
              </w:rPr>
              <w:alias w:val="Approved By"/>
              <w:tag w:val="approvedBy"/>
              <w:id w:val="436949910"/>
              <w:lock w:val="sdtLocked"/>
              <w15:color w:val="008000"/>
              <w:text/>
            </w:sdtPr>
            <w:sdtEndPr/>
            <w:sdtContent>
              <w:r w:rsidR="00145CE1">
                <w:rPr>
                  <w:rFonts w:ascii="Arial" w:hAnsi="Arial" w:cs="Arial"/>
                  <w:b/>
                  <w:bCs/>
                  <w:color w:val="7B7B7B"/>
                  <w:sz w:val="24"/>
                  <w:szCs w:val="24"/>
                </w:rPr>
                <w:t xml:space="preserve">Morgan Allison, </w:t>
              </w:r>
              <w:r w:rsidR="000F35E4">
                <w:rPr>
                  <w:rFonts w:ascii="Arial" w:hAnsi="Arial" w:cs="Arial"/>
                  <w:b/>
                  <w:bCs/>
                  <w:color w:val="7B7B7B"/>
                  <w:sz w:val="24"/>
                  <w:szCs w:val="24"/>
                </w:rPr>
                <w:t>CEO</w:t>
              </w:r>
            </w:sdtContent>
          </w:sdt>
        </w:p>
      </w:tc>
    </w:tr>
    <w:tr w:rsidR="0094706E" w:rsidRPr="0066293A" w:rsidTr="00525E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12" w:type="dxa"/>
          <w:vMerge/>
        </w:tcPr>
        <w:p w:rsidR="00927DD7" w:rsidRPr="0066293A" w:rsidRDefault="00C249CA" w:rsidP="00B60196">
          <w:pPr>
            <w:spacing w:before="240"/>
            <w:rPr>
              <w:rFonts w:ascii="Arial" w:hAnsi="Arial" w:cs="Arial"/>
              <w:noProof/>
              <w:sz w:val="24"/>
              <w:szCs w:val="24"/>
            </w:rPr>
          </w:pPr>
        </w:p>
      </w:tc>
      <w:tc>
        <w:tcPr>
          <w:tcW w:w="3768" w:type="dxa"/>
          <w:shd w:val="clear" w:color="auto" w:fill="F2F2F2" w:themeFill="background1" w:themeFillShade="F2"/>
          <w:vAlign w:val="center"/>
        </w:tcPr>
        <w:p w:rsidR="00927DD7" w:rsidRPr="00525E40" w:rsidRDefault="00416A16" w:rsidP="000F35E4">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EFFECTIVE DATE:  </w:t>
          </w:r>
          <w:sdt>
            <w:sdtPr>
              <w:rPr>
                <w:rFonts w:ascii="Arial" w:hAnsi="Arial" w:cs="Arial"/>
                <w:b/>
                <w:bCs/>
                <w:color w:val="7B7B7B"/>
                <w:sz w:val="24"/>
                <w:szCs w:val="24"/>
              </w:rPr>
              <w:alias w:val="Effective Date"/>
              <w:tag w:val="effectiveDate"/>
              <w:id w:val="73398857"/>
              <w:lock w:val="sdtLocked"/>
              <w15:color w:val="008000"/>
              <w:date w:fullDate="2021-01-01T00:00:00Z">
                <w:dateFormat w:val="M/d/yyyy"/>
                <w:lid w:val="en-US"/>
                <w:storeMappedDataAs w:val="dateTime"/>
                <w:calendar w:val="gregorian"/>
              </w:date>
            </w:sdtPr>
            <w:sdtEndPr/>
            <w:sdtContent>
              <w:r w:rsidR="00687E9F">
                <w:rPr>
                  <w:rFonts w:ascii="Arial" w:hAnsi="Arial" w:cs="Arial"/>
                  <w:b/>
                  <w:bCs/>
                  <w:color w:val="7B7B7B"/>
                  <w:sz w:val="24"/>
                  <w:szCs w:val="24"/>
                </w:rPr>
                <w:t>1/1/2021</w:t>
              </w:r>
            </w:sdtContent>
          </w:sdt>
        </w:p>
      </w:tc>
      <w:tc>
        <w:tcPr>
          <w:tcW w:w="5040" w:type="dxa"/>
          <w:shd w:val="clear" w:color="auto" w:fill="F2F2F2" w:themeFill="background1" w:themeFillShade="F2"/>
          <w:vAlign w:val="center"/>
        </w:tcPr>
        <w:p w:rsidR="00927DD7" w:rsidRPr="00525E40" w:rsidRDefault="00416A16" w:rsidP="000F35E4">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highlight w:val="yellow"/>
            </w:rPr>
          </w:pPr>
          <w:r w:rsidRPr="00525E40">
            <w:rPr>
              <w:rFonts w:ascii="Arial" w:hAnsi="Arial" w:cs="Arial"/>
              <w:b/>
              <w:bCs/>
              <w:color w:val="7B7B7B"/>
              <w:sz w:val="24"/>
              <w:szCs w:val="24"/>
            </w:rPr>
            <w:t>R</w:t>
          </w:r>
          <w:r w:rsidR="00145CE1">
            <w:rPr>
              <w:rFonts w:ascii="Arial" w:hAnsi="Arial" w:cs="Arial"/>
              <w:b/>
              <w:bCs/>
              <w:color w:val="7B7B7B"/>
              <w:sz w:val="24"/>
              <w:szCs w:val="24"/>
            </w:rPr>
            <w:t xml:space="preserve">EVISION </w:t>
          </w:r>
          <w:r w:rsidRPr="00525E40">
            <w:rPr>
              <w:rFonts w:ascii="Arial" w:hAnsi="Arial" w:cs="Arial"/>
              <w:b/>
              <w:bCs/>
              <w:color w:val="7B7B7B"/>
              <w:sz w:val="24"/>
              <w:szCs w:val="24"/>
            </w:rPr>
            <w:t xml:space="preserve">DATE: </w:t>
          </w:r>
          <w:sdt>
            <w:sdtPr>
              <w:rPr>
                <w:rFonts w:ascii="Arial" w:hAnsi="Arial" w:cs="Arial"/>
                <w:b/>
                <w:bCs/>
                <w:color w:val="7B7B7B"/>
                <w:sz w:val="24"/>
                <w:szCs w:val="24"/>
              </w:rPr>
              <w:alias w:val="Revision Date"/>
              <w:tag w:val="revisionDate"/>
              <w:id w:val="-936818995"/>
              <w:lock w:val="sdtLocked"/>
              <w15:color w:val="008000"/>
              <w:date w:fullDate="2023-01-03T00:00:00Z">
                <w:dateFormat w:val="M/d/yyyy"/>
                <w:lid w:val="en-US"/>
                <w:storeMappedDataAs w:val="dateTime"/>
                <w:calendar w:val="gregorian"/>
              </w:date>
            </w:sdtPr>
            <w:sdtEndPr/>
            <w:sdtContent>
              <w:r w:rsidR="00C249CA">
                <w:rPr>
                  <w:rFonts w:ascii="Arial" w:hAnsi="Arial" w:cs="Arial"/>
                  <w:b/>
                  <w:bCs/>
                  <w:color w:val="7B7B7B"/>
                  <w:sz w:val="24"/>
                  <w:szCs w:val="24"/>
                </w:rPr>
                <w:t>1/3</w:t>
              </w:r>
              <w:r w:rsidR="00C517E9">
                <w:rPr>
                  <w:rFonts w:ascii="Arial" w:hAnsi="Arial" w:cs="Arial"/>
                  <w:b/>
                  <w:bCs/>
                  <w:color w:val="7B7B7B"/>
                  <w:sz w:val="24"/>
                  <w:szCs w:val="24"/>
                </w:rPr>
                <w:t>/2023</w:t>
              </w:r>
            </w:sdtContent>
          </w:sdt>
        </w:p>
      </w:tc>
    </w:tr>
    <w:tr w:rsidR="00927DD7" w:rsidRPr="0066293A" w:rsidTr="00525E40">
      <w:trPr>
        <w:trHeight w:val="280"/>
      </w:trPr>
      <w:tc>
        <w:tcPr>
          <w:cnfStyle w:val="001000000000" w:firstRow="0" w:lastRow="0" w:firstColumn="1" w:lastColumn="0" w:oddVBand="0" w:evenVBand="0" w:oddHBand="0" w:evenHBand="0" w:firstRowFirstColumn="0" w:firstRowLastColumn="0" w:lastRowFirstColumn="0" w:lastRowLastColumn="0"/>
          <w:tcW w:w="11520" w:type="dxa"/>
          <w:gridSpan w:val="3"/>
          <w:tcBorders>
            <w:bottom w:val="single" w:sz="12" w:space="0" w:color="808080" w:themeColor="background1" w:themeShade="80"/>
          </w:tcBorders>
          <w:vAlign w:val="center"/>
        </w:tcPr>
        <w:p w:rsidR="00927DD7" w:rsidRPr="00525E40" w:rsidRDefault="00416A16" w:rsidP="00525E40">
          <w:pPr>
            <w:pStyle w:val="Header"/>
            <w:jc w:val="center"/>
            <w:rPr>
              <w:rFonts w:ascii="Arial" w:hAnsi="Arial" w:cs="Arial"/>
              <w:b w:val="0"/>
              <w:bCs w:val="0"/>
              <w:sz w:val="24"/>
              <w:szCs w:val="24"/>
            </w:rPr>
          </w:pPr>
          <w:r w:rsidRPr="00525E40">
            <w:rPr>
              <w:rFonts w:ascii="Arial"/>
              <w:b w:val="0"/>
              <w:bCs w:val="0"/>
              <w:sz w:val="16"/>
            </w:rPr>
            <w:t>This is a controlled document.  Printed copies are for reference only and are not controlled.  Please refer to the electronic copy for the current</w:t>
          </w:r>
          <w:r w:rsidRPr="00525E40">
            <w:rPr>
              <w:rFonts w:ascii="Arial"/>
              <w:b w:val="0"/>
              <w:bCs w:val="0"/>
              <w:spacing w:val="10"/>
              <w:sz w:val="16"/>
            </w:rPr>
            <w:t xml:space="preserve"> </w:t>
          </w:r>
          <w:r w:rsidRPr="00525E40">
            <w:rPr>
              <w:rFonts w:ascii="Arial"/>
              <w:b w:val="0"/>
              <w:bCs w:val="0"/>
              <w:sz w:val="16"/>
            </w:rPr>
            <w:t>version.</w:t>
          </w:r>
        </w:p>
      </w:tc>
    </w:tr>
  </w:tbl>
  <w:p w:rsidR="00927DD7" w:rsidRDefault="00C24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5157"/>
    <w:multiLevelType w:val="hybridMultilevel"/>
    <w:tmpl w:val="8FA075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34900"/>
    <w:multiLevelType w:val="hybridMultilevel"/>
    <w:tmpl w:val="F1166732"/>
    <w:lvl w:ilvl="0" w:tplc="AD7AA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850AA0"/>
    <w:multiLevelType w:val="hybridMultilevel"/>
    <w:tmpl w:val="B2A01E20"/>
    <w:lvl w:ilvl="0" w:tplc="2F645534">
      <w:start w:val="1"/>
      <w:numFmt w:val="upperRoman"/>
      <w:lvlText w:val="%1."/>
      <w:lvlJc w:val="left"/>
      <w:pPr>
        <w:ind w:left="1080" w:hanging="720"/>
      </w:pPr>
      <w:rPr>
        <w:rFonts w:hint="default"/>
        <w:b/>
        <w:color w:val="auto"/>
      </w:rPr>
    </w:lvl>
    <w:lvl w:ilvl="1" w:tplc="83D86C1A">
      <w:start w:val="1"/>
      <w:numFmt w:val="upperLetter"/>
      <w:lvlText w:val="%2."/>
      <w:lvlJc w:val="left"/>
      <w:pPr>
        <w:ind w:left="1440" w:hanging="360"/>
      </w:pPr>
      <w:rPr>
        <w:b w:val="0"/>
      </w:rPr>
    </w:lvl>
    <w:lvl w:ilvl="2" w:tplc="86F27616">
      <w:start w:val="1"/>
      <w:numFmt w:val="decimal"/>
      <w:suff w:val="space"/>
      <w:lvlText w:val="%3."/>
      <w:lvlJc w:val="left"/>
      <w:pPr>
        <w:ind w:left="2160" w:hanging="180"/>
      </w:pPr>
      <w:rPr>
        <w:rFonts w:hint="default"/>
        <w:b w:val="0"/>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jU2t7AwsTSzNDNV0lEKTi0uzszPAykwqQUAduY6wiwAAAA="/>
  </w:docVars>
  <w:rsids>
    <w:rsidRoot w:val="000F35E4"/>
    <w:rsid w:val="000A0044"/>
    <w:rsid w:val="000A7A0F"/>
    <w:rsid w:val="000E5119"/>
    <w:rsid w:val="000F35E4"/>
    <w:rsid w:val="00145CE1"/>
    <w:rsid w:val="00151204"/>
    <w:rsid w:val="001B335A"/>
    <w:rsid w:val="001C47E6"/>
    <w:rsid w:val="001C703E"/>
    <w:rsid w:val="001D7E2F"/>
    <w:rsid w:val="001F3CEE"/>
    <w:rsid w:val="002A3A07"/>
    <w:rsid w:val="002B30E8"/>
    <w:rsid w:val="0034143B"/>
    <w:rsid w:val="003915A7"/>
    <w:rsid w:val="003D1E53"/>
    <w:rsid w:val="00404D20"/>
    <w:rsid w:val="00416A16"/>
    <w:rsid w:val="0045440D"/>
    <w:rsid w:val="0049706F"/>
    <w:rsid w:val="004C52EC"/>
    <w:rsid w:val="00525E40"/>
    <w:rsid w:val="00552602"/>
    <w:rsid w:val="005E0344"/>
    <w:rsid w:val="00627A50"/>
    <w:rsid w:val="00674DC4"/>
    <w:rsid w:val="00687E9F"/>
    <w:rsid w:val="006E7185"/>
    <w:rsid w:val="006F6112"/>
    <w:rsid w:val="007B16D3"/>
    <w:rsid w:val="007B4827"/>
    <w:rsid w:val="007D0B9C"/>
    <w:rsid w:val="0088024D"/>
    <w:rsid w:val="00892232"/>
    <w:rsid w:val="008A3554"/>
    <w:rsid w:val="008D7C0A"/>
    <w:rsid w:val="009016B1"/>
    <w:rsid w:val="0094706E"/>
    <w:rsid w:val="00975BF3"/>
    <w:rsid w:val="00A52E7C"/>
    <w:rsid w:val="00A95D86"/>
    <w:rsid w:val="00AB0B7E"/>
    <w:rsid w:val="00B35580"/>
    <w:rsid w:val="00B70E82"/>
    <w:rsid w:val="00B84007"/>
    <w:rsid w:val="00C249CA"/>
    <w:rsid w:val="00C25ED6"/>
    <w:rsid w:val="00C517E9"/>
    <w:rsid w:val="00D031B8"/>
    <w:rsid w:val="00D06727"/>
    <w:rsid w:val="00D20452"/>
    <w:rsid w:val="00D2465A"/>
    <w:rsid w:val="00D5270B"/>
    <w:rsid w:val="00D54D8D"/>
    <w:rsid w:val="00DB499B"/>
    <w:rsid w:val="00E4606F"/>
    <w:rsid w:val="00E645FD"/>
    <w:rsid w:val="00E8417E"/>
    <w:rsid w:val="00E85373"/>
    <w:rsid w:val="00F94912"/>
    <w:rsid w:val="00FD0023"/>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A67AD4"/>
  <w15:chartTrackingRefBased/>
  <w15:docId w15:val="{0281BC7A-D3ED-44B9-A407-C0F30FE5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6A1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16"/>
    <w:pPr>
      <w:tabs>
        <w:tab w:val="center" w:pos="4680"/>
        <w:tab w:val="right" w:pos="9360"/>
      </w:tabs>
    </w:pPr>
  </w:style>
  <w:style w:type="character" w:customStyle="1" w:styleId="HeaderChar">
    <w:name w:val="Header Char"/>
    <w:basedOn w:val="DefaultParagraphFont"/>
    <w:link w:val="Header"/>
    <w:uiPriority w:val="99"/>
    <w:rsid w:val="00416A16"/>
  </w:style>
  <w:style w:type="paragraph" w:styleId="Footer">
    <w:name w:val="footer"/>
    <w:basedOn w:val="Normal"/>
    <w:link w:val="FooterChar"/>
    <w:uiPriority w:val="99"/>
    <w:unhideWhenUsed/>
    <w:rsid w:val="00416A16"/>
    <w:pPr>
      <w:tabs>
        <w:tab w:val="center" w:pos="4680"/>
        <w:tab w:val="right" w:pos="9360"/>
      </w:tabs>
    </w:pPr>
  </w:style>
  <w:style w:type="character" w:customStyle="1" w:styleId="FooterChar">
    <w:name w:val="Footer Char"/>
    <w:basedOn w:val="DefaultParagraphFont"/>
    <w:link w:val="Footer"/>
    <w:uiPriority w:val="99"/>
    <w:rsid w:val="00416A16"/>
  </w:style>
  <w:style w:type="table" w:styleId="TableGrid">
    <w:name w:val="Table Grid"/>
    <w:basedOn w:val="TableNormal"/>
    <w:uiPriority w:val="39"/>
    <w:rsid w:val="0041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A16"/>
  </w:style>
  <w:style w:type="character" w:styleId="CommentReference">
    <w:name w:val="annotation reference"/>
    <w:basedOn w:val="DefaultParagraphFont"/>
    <w:uiPriority w:val="99"/>
    <w:semiHidden/>
    <w:unhideWhenUsed/>
    <w:rsid w:val="00416A16"/>
    <w:rPr>
      <w:sz w:val="16"/>
      <w:szCs w:val="16"/>
    </w:rPr>
  </w:style>
  <w:style w:type="paragraph" w:styleId="CommentText">
    <w:name w:val="annotation text"/>
    <w:basedOn w:val="Normal"/>
    <w:link w:val="CommentTextChar"/>
    <w:uiPriority w:val="99"/>
    <w:semiHidden/>
    <w:unhideWhenUsed/>
    <w:rsid w:val="00416A16"/>
    <w:rPr>
      <w:sz w:val="20"/>
      <w:szCs w:val="20"/>
    </w:rPr>
  </w:style>
  <w:style w:type="character" w:customStyle="1" w:styleId="CommentTextChar">
    <w:name w:val="Comment Text Char"/>
    <w:basedOn w:val="DefaultParagraphFont"/>
    <w:link w:val="CommentText"/>
    <w:uiPriority w:val="99"/>
    <w:semiHidden/>
    <w:rsid w:val="00416A16"/>
    <w:rPr>
      <w:sz w:val="20"/>
      <w:szCs w:val="20"/>
    </w:rPr>
  </w:style>
  <w:style w:type="paragraph" w:styleId="BalloonText">
    <w:name w:val="Balloon Text"/>
    <w:basedOn w:val="Normal"/>
    <w:link w:val="BalloonTextChar"/>
    <w:uiPriority w:val="99"/>
    <w:semiHidden/>
    <w:unhideWhenUsed/>
    <w:rsid w:val="0041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16"/>
    <w:rPr>
      <w:rFonts w:ascii="Segoe UI" w:hAnsi="Segoe UI" w:cs="Segoe UI"/>
      <w:sz w:val="18"/>
      <w:szCs w:val="18"/>
    </w:rPr>
  </w:style>
  <w:style w:type="character" w:styleId="PlaceholderText">
    <w:name w:val="Placeholder Text"/>
    <w:basedOn w:val="DefaultParagraphFont"/>
    <w:uiPriority w:val="99"/>
    <w:semiHidden/>
    <w:rsid w:val="0094706E"/>
    <w:rPr>
      <w:color w:val="808080"/>
    </w:rPr>
  </w:style>
  <w:style w:type="table" w:styleId="ListTable6Colorful-Accent3">
    <w:name w:val="List Table 6 Colorful Accent 3"/>
    <w:basedOn w:val="TableNormal"/>
    <w:uiPriority w:val="51"/>
    <w:rsid w:val="00525E4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olicies\~KCMH%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~KCMH POLICY TEMPLATE</Template>
  <TotalTime>16</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Allison</dc:creator>
  <cp:keywords/>
  <dc:description/>
  <cp:lastModifiedBy>RaeLyn Stevens</cp:lastModifiedBy>
  <cp:revision>3</cp:revision>
  <dcterms:created xsi:type="dcterms:W3CDTF">2022-12-19T19:11:00Z</dcterms:created>
  <dcterms:modified xsi:type="dcterms:W3CDTF">2023-01-03T19:58:00Z</dcterms:modified>
</cp:coreProperties>
</file>